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3007" w:type="dxa"/>
        <w:tblLook w:val="0600" w:firstRow="0" w:lastRow="0" w:firstColumn="0" w:lastColumn="0" w:noHBand="1" w:noVBand="1"/>
      </w:tblPr>
      <w:tblGrid>
        <w:gridCol w:w="1271"/>
        <w:gridCol w:w="11736"/>
      </w:tblGrid>
      <w:tr w:rsidR="00C926BF" w:rsidRPr="00C926BF" w:rsidTr="003F51C8">
        <w:trPr>
          <w:trHeight w:val="275"/>
        </w:trPr>
        <w:tc>
          <w:tcPr>
            <w:tcW w:w="1271" w:type="dxa"/>
          </w:tcPr>
          <w:p w:rsidR="00C926BF" w:rsidRPr="00C926BF" w:rsidRDefault="00C926BF" w:rsidP="00C926BF">
            <w:pPr>
              <w:spacing w:line="288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926BF">
              <w:rPr>
                <w:rFonts w:ascii="Arial" w:hAnsi="Arial" w:cs="Arial"/>
                <w:b/>
                <w:sz w:val="24"/>
                <w:szCs w:val="24"/>
              </w:rPr>
              <w:t>Red.br.</w:t>
            </w:r>
          </w:p>
        </w:tc>
        <w:tc>
          <w:tcPr>
            <w:tcW w:w="11736" w:type="dxa"/>
          </w:tcPr>
          <w:p w:rsidR="00C926BF" w:rsidRPr="00C926BF" w:rsidRDefault="00C926BF" w:rsidP="00C926BF">
            <w:pPr>
              <w:spacing w:line="288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/>
            <w:bookmarkEnd w:id="0"/>
            <w:r w:rsidRPr="00C926BF">
              <w:rPr>
                <w:rFonts w:ascii="Arial" w:hAnsi="Arial" w:cs="Arial"/>
                <w:b/>
                <w:sz w:val="24"/>
                <w:szCs w:val="24"/>
              </w:rPr>
              <w:t>TEMA</w:t>
            </w:r>
          </w:p>
        </w:tc>
      </w:tr>
      <w:tr w:rsidR="003F51C8" w:rsidRPr="00C926BF" w:rsidTr="003F51C8">
        <w:trPr>
          <w:trHeight w:val="364"/>
        </w:trPr>
        <w:tc>
          <w:tcPr>
            <w:tcW w:w="1271" w:type="dxa"/>
            <w:shd w:val="clear" w:color="auto" w:fill="DBE5F1" w:themeFill="accent1" w:themeFillTint="33"/>
          </w:tcPr>
          <w:p w:rsidR="003F51C8" w:rsidRPr="003F51C8" w:rsidRDefault="003F51C8" w:rsidP="003F51C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1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36" w:type="dxa"/>
            <w:shd w:val="clear" w:color="auto" w:fill="DBE5F1" w:themeFill="accent1" w:themeFillTint="33"/>
          </w:tcPr>
          <w:p w:rsidR="003F51C8" w:rsidRPr="003F51C8" w:rsidRDefault="00441231" w:rsidP="003F51C8">
            <w:pPr>
              <w:spacing w:line="288" w:lineRule="auto"/>
              <w:ind w:lef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1C8">
              <w:rPr>
                <w:rFonts w:ascii="Times New Roman" w:hAnsi="Times New Roman" w:cs="Times New Roman"/>
                <w:bCs/>
                <w:sz w:val="24"/>
                <w:szCs w:val="24"/>
                <w:lang w:val="sr-Latn-BA"/>
              </w:rPr>
              <w:t>Uloga digitalnog evra u savremenom finansijskom sistemu</w:t>
            </w:r>
          </w:p>
        </w:tc>
      </w:tr>
      <w:tr w:rsidR="003F51C8" w:rsidRPr="00C926BF" w:rsidTr="003F51C8">
        <w:trPr>
          <w:trHeight w:val="275"/>
        </w:trPr>
        <w:tc>
          <w:tcPr>
            <w:tcW w:w="1271" w:type="dxa"/>
            <w:shd w:val="clear" w:color="auto" w:fill="DBE5F1" w:themeFill="accent1" w:themeFillTint="33"/>
          </w:tcPr>
          <w:p w:rsidR="003F51C8" w:rsidRPr="003F51C8" w:rsidRDefault="003F51C8" w:rsidP="003F51C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1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36" w:type="dxa"/>
            <w:shd w:val="clear" w:color="auto" w:fill="DBE5F1" w:themeFill="accent1" w:themeFillTint="33"/>
          </w:tcPr>
          <w:p w:rsidR="003F51C8" w:rsidRPr="003F51C8" w:rsidRDefault="00441231" w:rsidP="00D3010F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1C8">
              <w:rPr>
                <w:rFonts w:ascii="Times New Roman" w:hAnsi="Times New Roman" w:cs="Times New Roman"/>
                <w:bCs/>
                <w:sz w:val="24"/>
                <w:szCs w:val="24"/>
                <w:lang w:val="sr-Latn-BA"/>
              </w:rPr>
              <w:t xml:space="preserve">Bitkoin </w:t>
            </w:r>
            <w:r w:rsidR="00D3010F">
              <w:rPr>
                <w:rFonts w:ascii="Times New Roman" w:hAnsi="Times New Roman" w:cs="Times New Roman"/>
                <w:bCs/>
                <w:sz w:val="24"/>
                <w:szCs w:val="24"/>
                <w:lang w:val="sr-Latn-BA"/>
              </w:rPr>
              <w:t>-</w:t>
            </w:r>
            <w:r w:rsidRPr="003F51C8">
              <w:rPr>
                <w:rFonts w:ascii="Times New Roman" w:hAnsi="Times New Roman" w:cs="Times New Roman"/>
                <w:bCs/>
                <w:sz w:val="24"/>
                <w:szCs w:val="24"/>
                <w:lang w:val="sr-Latn-BA"/>
              </w:rPr>
              <w:t xml:space="preserve"> digitalno zlato, sredstvo plaćanja ili rizična investicija?</w:t>
            </w:r>
            <w:r w:rsidRPr="003F51C8">
              <w:rPr>
                <w:rFonts w:ascii="Times New Roman" w:hAnsi="Times New Roman" w:cs="Times New Roman"/>
                <w:bCs/>
                <w:sz w:val="24"/>
                <w:szCs w:val="24"/>
                <w:lang w:val="sr-Latn-BA"/>
              </w:rPr>
              <w:t xml:space="preserve"> </w:t>
            </w:r>
          </w:p>
        </w:tc>
      </w:tr>
      <w:tr w:rsidR="003F51C8" w:rsidRPr="00C926BF" w:rsidTr="003F51C8">
        <w:trPr>
          <w:trHeight w:val="275"/>
        </w:trPr>
        <w:tc>
          <w:tcPr>
            <w:tcW w:w="1271" w:type="dxa"/>
            <w:shd w:val="clear" w:color="auto" w:fill="DBE5F1" w:themeFill="accent1" w:themeFillTint="33"/>
          </w:tcPr>
          <w:p w:rsidR="003F51C8" w:rsidRPr="003F51C8" w:rsidRDefault="003F51C8" w:rsidP="003F51C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1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36" w:type="dxa"/>
            <w:shd w:val="clear" w:color="auto" w:fill="DBE5F1" w:themeFill="accent1" w:themeFillTint="33"/>
          </w:tcPr>
          <w:p w:rsidR="003F51C8" w:rsidRPr="00D34932" w:rsidRDefault="00441231" w:rsidP="003F51C8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BA"/>
              </w:rPr>
            </w:pPr>
            <w:r w:rsidRPr="00D34932">
              <w:rPr>
                <w:rFonts w:ascii="Times New Roman" w:hAnsi="Times New Roman" w:cs="Times New Roman"/>
                <w:bCs/>
                <w:sz w:val="24"/>
                <w:szCs w:val="24"/>
                <w:lang w:val="sr-Latn-BA"/>
              </w:rPr>
              <w:t>Elektronsko plaćanje između praktičnosti, sigurnosti i rizika</w:t>
            </w:r>
          </w:p>
        </w:tc>
      </w:tr>
      <w:tr w:rsidR="003F51C8" w:rsidRPr="00C926BF" w:rsidTr="003F51C8">
        <w:trPr>
          <w:trHeight w:val="275"/>
        </w:trPr>
        <w:tc>
          <w:tcPr>
            <w:tcW w:w="1271" w:type="dxa"/>
            <w:shd w:val="clear" w:color="auto" w:fill="DBE5F1" w:themeFill="accent1" w:themeFillTint="33"/>
          </w:tcPr>
          <w:p w:rsidR="003F51C8" w:rsidRPr="003F51C8" w:rsidRDefault="003F51C8" w:rsidP="003F51C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1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36" w:type="dxa"/>
            <w:shd w:val="clear" w:color="auto" w:fill="DBE5F1" w:themeFill="accent1" w:themeFillTint="33"/>
          </w:tcPr>
          <w:p w:rsidR="003F51C8" w:rsidRPr="00D34932" w:rsidRDefault="003F51C8" w:rsidP="003F51C8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932">
              <w:rPr>
                <w:rFonts w:ascii="Times New Roman" w:hAnsi="Times New Roman" w:cs="Times New Roman"/>
                <w:sz w:val="24"/>
                <w:szCs w:val="24"/>
              </w:rPr>
              <w:t>Uloga zlata u savremenom međunarodnom monetarnom sistemu</w:t>
            </w:r>
          </w:p>
        </w:tc>
      </w:tr>
      <w:tr w:rsidR="00673C8E" w:rsidRPr="00C926BF" w:rsidTr="003F51C8">
        <w:trPr>
          <w:trHeight w:val="275"/>
        </w:trPr>
        <w:tc>
          <w:tcPr>
            <w:tcW w:w="1271" w:type="dxa"/>
            <w:shd w:val="clear" w:color="auto" w:fill="DBE5F1" w:themeFill="accent1" w:themeFillTint="33"/>
          </w:tcPr>
          <w:p w:rsidR="00673C8E" w:rsidRPr="003F51C8" w:rsidRDefault="00673C8E" w:rsidP="00673C8E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1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36" w:type="dxa"/>
            <w:shd w:val="clear" w:color="auto" w:fill="DBE5F1" w:themeFill="accent1" w:themeFillTint="33"/>
          </w:tcPr>
          <w:p w:rsidR="00673C8E" w:rsidRPr="00D34932" w:rsidRDefault="00673C8E" w:rsidP="00673C8E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932">
              <w:rPr>
                <w:rFonts w:ascii="Times New Roman" w:hAnsi="Times New Roman" w:cs="Times New Roman"/>
                <w:sz w:val="24"/>
                <w:szCs w:val="24"/>
              </w:rPr>
              <w:t>Dedolarizacija svjetske ekonomije – može li američki dolar izgubiti dominantnu ulogu?</w:t>
            </w:r>
          </w:p>
        </w:tc>
      </w:tr>
      <w:tr w:rsidR="00673C8E" w:rsidRPr="00C926BF" w:rsidTr="003F51C8">
        <w:trPr>
          <w:trHeight w:val="275"/>
        </w:trPr>
        <w:tc>
          <w:tcPr>
            <w:tcW w:w="1271" w:type="dxa"/>
            <w:shd w:val="clear" w:color="auto" w:fill="DBE5F1" w:themeFill="accent1" w:themeFillTint="33"/>
          </w:tcPr>
          <w:p w:rsidR="00673C8E" w:rsidRPr="003F51C8" w:rsidRDefault="00673C8E" w:rsidP="00673C8E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1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36" w:type="dxa"/>
            <w:shd w:val="clear" w:color="auto" w:fill="DBE5F1" w:themeFill="accent1" w:themeFillTint="33"/>
          </w:tcPr>
          <w:p w:rsidR="00673C8E" w:rsidRPr="00D34932" w:rsidRDefault="00673C8E" w:rsidP="00673C8E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932">
              <w:rPr>
                <w:rFonts w:ascii="Times New Roman" w:hAnsi="Times New Roman" w:cs="Times New Roman"/>
                <w:sz w:val="24"/>
                <w:szCs w:val="24"/>
              </w:rPr>
              <w:t>Inflaciona očekivanja stanovništva i njihov uticaj na potrošnju i štednju</w:t>
            </w:r>
          </w:p>
        </w:tc>
      </w:tr>
      <w:tr w:rsidR="00673C8E" w:rsidRPr="00C926BF" w:rsidTr="003F51C8">
        <w:trPr>
          <w:trHeight w:val="285"/>
        </w:trPr>
        <w:tc>
          <w:tcPr>
            <w:tcW w:w="1271" w:type="dxa"/>
            <w:shd w:val="clear" w:color="auto" w:fill="DBE5F1" w:themeFill="accent1" w:themeFillTint="33"/>
          </w:tcPr>
          <w:p w:rsidR="00673C8E" w:rsidRPr="003F51C8" w:rsidRDefault="00673C8E" w:rsidP="00673C8E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1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36" w:type="dxa"/>
            <w:shd w:val="clear" w:color="auto" w:fill="DBE5F1" w:themeFill="accent1" w:themeFillTint="33"/>
          </w:tcPr>
          <w:p w:rsidR="00673C8E" w:rsidRPr="00D34932" w:rsidRDefault="00673C8E" w:rsidP="00673C8E">
            <w:pPr>
              <w:pStyle w:val="ListParagraph"/>
              <w:spacing w:line="288" w:lineRule="auto"/>
              <w:ind w:left="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4932">
              <w:rPr>
                <w:rFonts w:ascii="Times New Roman" w:hAnsi="Times New Roman"/>
                <w:sz w:val="24"/>
                <w:szCs w:val="24"/>
              </w:rPr>
              <w:t>Upravljanje deviznim rezervama i devizne rezerve CB BiH</w:t>
            </w:r>
          </w:p>
        </w:tc>
      </w:tr>
      <w:tr w:rsidR="00673C8E" w:rsidRPr="00C926BF" w:rsidTr="003F51C8">
        <w:trPr>
          <w:trHeight w:val="275"/>
        </w:trPr>
        <w:tc>
          <w:tcPr>
            <w:tcW w:w="1271" w:type="dxa"/>
            <w:shd w:val="clear" w:color="auto" w:fill="DBE5F1" w:themeFill="accent1" w:themeFillTint="33"/>
          </w:tcPr>
          <w:p w:rsidR="00673C8E" w:rsidRPr="003F51C8" w:rsidRDefault="00673C8E" w:rsidP="00673C8E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1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736" w:type="dxa"/>
            <w:shd w:val="clear" w:color="auto" w:fill="DBE5F1" w:themeFill="accent1" w:themeFillTint="33"/>
          </w:tcPr>
          <w:p w:rsidR="00673C8E" w:rsidRPr="00D34932" w:rsidRDefault="00673C8E" w:rsidP="00673C8E">
            <w:pPr>
              <w:pStyle w:val="ListParagraph"/>
              <w:spacing w:line="288" w:lineRule="auto"/>
              <w:ind w:left="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4932">
              <w:rPr>
                <w:rFonts w:ascii="Times New Roman" w:hAnsi="Times New Roman"/>
                <w:sz w:val="24"/>
                <w:szCs w:val="24"/>
              </w:rPr>
              <w:t>Uticaj kreditnog rejtinga države na troškove zaduživanja i priliv stranog kapitala</w:t>
            </w:r>
          </w:p>
        </w:tc>
      </w:tr>
      <w:tr w:rsidR="00673C8E" w:rsidRPr="00C926BF" w:rsidTr="003F51C8">
        <w:trPr>
          <w:trHeight w:val="262"/>
        </w:trPr>
        <w:tc>
          <w:tcPr>
            <w:tcW w:w="1271" w:type="dxa"/>
            <w:shd w:val="clear" w:color="auto" w:fill="DBE5F1" w:themeFill="accent1" w:themeFillTint="33"/>
          </w:tcPr>
          <w:p w:rsidR="00673C8E" w:rsidRPr="003F51C8" w:rsidRDefault="00673C8E" w:rsidP="00673C8E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1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36" w:type="dxa"/>
            <w:shd w:val="clear" w:color="auto" w:fill="DBE5F1" w:themeFill="accent1" w:themeFillTint="33"/>
          </w:tcPr>
          <w:p w:rsidR="00673C8E" w:rsidRPr="00D34932" w:rsidRDefault="00673C8E" w:rsidP="00673C8E">
            <w:pPr>
              <w:pStyle w:val="ListParagraph"/>
              <w:spacing w:line="288" w:lineRule="auto"/>
              <w:ind w:left="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4932">
              <w:rPr>
                <w:rFonts w:ascii="Times New Roman" w:hAnsi="Times New Roman"/>
                <w:sz w:val="24"/>
                <w:szCs w:val="24"/>
              </w:rPr>
              <w:t>Štednja stanovništva u Bosni i Hercegovini – kretanja, struktura i faktori koji utiču na štednju</w:t>
            </w:r>
          </w:p>
        </w:tc>
      </w:tr>
      <w:tr w:rsidR="00673C8E" w:rsidRPr="00C926BF" w:rsidTr="003F51C8">
        <w:trPr>
          <w:trHeight w:val="281"/>
        </w:trPr>
        <w:tc>
          <w:tcPr>
            <w:tcW w:w="1271" w:type="dxa"/>
            <w:shd w:val="clear" w:color="auto" w:fill="DBE5F1" w:themeFill="accent1" w:themeFillTint="33"/>
          </w:tcPr>
          <w:p w:rsidR="00673C8E" w:rsidRPr="003F51C8" w:rsidRDefault="00673C8E" w:rsidP="00673C8E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1C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36" w:type="dxa"/>
            <w:shd w:val="clear" w:color="auto" w:fill="DBE5F1" w:themeFill="accent1" w:themeFillTint="33"/>
          </w:tcPr>
          <w:p w:rsidR="00673C8E" w:rsidRPr="00D34932" w:rsidRDefault="00673C8E" w:rsidP="00673C8E">
            <w:pPr>
              <w:pStyle w:val="ListParagraph"/>
              <w:spacing w:line="288" w:lineRule="auto"/>
              <w:ind w:left="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4932">
              <w:rPr>
                <w:rFonts w:ascii="Times New Roman" w:hAnsi="Times New Roman"/>
                <w:sz w:val="24"/>
                <w:szCs w:val="24"/>
              </w:rPr>
              <w:t>Monetarna politika Evropske centralne banke nakon finansijske krize 2008.</w:t>
            </w:r>
          </w:p>
        </w:tc>
      </w:tr>
      <w:tr w:rsidR="00673C8E" w:rsidRPr="00C926BF" w:rsidTr="003F51C8">
        <w:trPr>
          <w:trHeight w:val="275"/>
        </w:trPr>
        <w:tc>
          <w:tcPr>
            <w:tcW w:w="1271" w:type="dxa"/>
            <w:shd w:val="clear" w:color="auto" w:fill="DBE5F1" w:themeFill="accent1" w:themeFillTint="33"/>
          </w:tcPr>
          <w:p w:rsidR="00673C8E" w:rsidRPr="003F51C8" w:rsidRDefault="00673C8E" w:rsidP="00673C8E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1C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36" w:type="dxa"/>
            <w:shd w:val="clear" w:color="auto" w:fill="DBE5F1" w:themeFill="accent1" w:themeFillTint="33"/>
          </w:tcPr>
          <w:p w:rsidR="00673C8E" w:rsidRPr="00D34932" w:rsidRDefault="00673C8E" w:rsidP="00673C8E">
            <w:pPr>
              <w:pStyle w:val="ListParagraph"/>
              <w:spacing w:line="288" w:lineRule="auto"/>
              <w:ind w:left="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4932">
              <w:rPr>
                <w:rFonts w:ascii="Times New Roman" w:hAnsi="Times New Roman"/>
                <w:sz w:val="24"/>
                <w:szCs w:val="24"/>
              </w:rPr>
              <w:t>Doznake iz inostranstva i njihov uticaj na monetarna i ekonomska kretanja u BiH</w:t>
            </w:r>
          </w:p>
        </w:tc>
      </w:tr>
      <w:tr w:rsidR="00673C8E" w:rsidRPr="00C926BF" w:rsidTr="003F51C8">
        <w:trPr>
          <w:trHeight w:val="275"/>
        </w:trPr>
        <w:tc>
          <w:tcPr>
            <w:tcW w:w="1271" w:type="dxa"/>
            <w:shd w:val="clear" w:color="auto" w:fill="DBE5F1" w:themeFill="accent1" w:themeFillTint="33"/>
          </w:tcPr>
          <w:p w:rsidR="00673C8E" w:rsidRPr="003F51C8" w:rsidRDefault="00673C8E" w:rsidP="00673C8E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1C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736" w:type="dxa"/>
            <w:shd w:val="clear" w:color="auto" w:fill="DBE5F1" w:themeFill="accent1" w:themeFillTint="33"/>
          </w:tcPr>
          <w:p w:rsidR="00673C8E" w:rsidRPr="00D34932" w:rsidRDefault="00673C8E" w:rsidP="00673C8E">
            <w:pPr>
              <w:pStyle w:val="ListParagraph"/>
              <w:spacing w:line="288" w:lineRule="auto"/>
              <w:ind w:left="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4932">
              <w:rPr>
                <w:rFonts w:ascii="Times New Roman" w:hAnsi="Times New Roman"/>
                <w:sz w:val="24"/>
                <w:szCs w:val="24"/>
              </w:rPr>
              <w:t>Nominalni i realni efektivni kurs konvertibilne marke</w:t>
            </w:r>
          </w:p>
        </w:tc>
      </w:tr>
      <w:tr w:rsidR="00673C8E" w:rsidRPr="00C926BF" w:rsidTr="003F51C8">
        <w:trPr>
          <w:trHeight w:val="275"/>
        </w:trPr>
        <w:tc>
          <w:tcPr>
            <w:tcW w:w="1271" w:type="dxa"/>
            <w:shd w:val="clear" w:color="auto" w:fill="DBE5F1" w:themeFill="accent1" w:themeFillTint="33"/>
          </w:tcPr>
          <w:p w:rsidR="00673C8E" w:rsidRPr="003F51C8" w:rsidRDefault="00673C8E" w:rsidP="0042327A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1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32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36" w:type="dxa"/>
            <w:shd w:val="clear" w:color="auto" w:fill="DBE5F1" w:themeFill="accent1" w:themeFillTint="33"/>
          </w:tcPr>
          <w:p w:rsidR="00673C8E" w:rsidRPr="003F51C8" w:rsidRDefault="00673C8E" w:rsidP="00673C8E">
            <w:pPr>
              <w:pStyle w:val="ListParagraph"/>
              <w:spacing w:line="288" w:lineRule="auto"/>
              <w:ind w:left="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51C8">
              <w:rPr>
                <w:rFonts w:ascii="Times New Roman" w:hAnsi="Times New Roman"/>
                <w:sz w:val="24"/>
                <w:szCs w:val="24"/>
              </w:rPr>
              <w:t>Kriptovalute i monetarni suverenitet država</w:t>
            </w:r>
          </w:p>
        </w:tc>
      </w:tr>
      <w:tr w:rsidR="00673C8E" w:rsidRPr="00C926BF" w:rsidTr="003F51C8">
        <w:trPr>
          <w:trHeight w:val="285"/>
        </w:trPr>
        <w:tc>
          <w:tcPr>
            <w:tcW w:w="1271" w:type="dxa"/>
            <w:shd w:val="clear" w:color="auto" w:fill="DBE5F1" w:themeFill="accent1" w:themeFillTint="33"/>
          </w:tcPr>
          <w:p w:rsidR="00673C8E" w:rsidRPr="003F51C8" w:rsidRDefault="0042327A" w:rsidP="00673C8E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736" w:type="dxa"/>
            <w:shd w:val="clear" w:color="auto" w:fill="DBE5F1" w:themeFill="accent1" w:themeFillTint="33"/>
          </w:tcPr>
          <w:p w:rsidR="00673C8E" w:rsidRPr="003F51C8" w:rsidRDefault="00673C8E" w:rsidP="00673C8E">
            <w:pPr>
              <w:pStyle w:val="ListParagraph"/>
              <w:spacing w:line="288" w:lineRule="auto"/>
              <w:ind w:left="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51C8">
              <w:rPr>
                <w:rFonts w:ascii="Times New Roman" w:hAnsi="Times New Roman"/>
                <w:sz w:val="24"/>
                <w:szCs w:val="24"/>
              </w:rPr>
              <w:t>Odnos monetarne i fiskalne politike u uslovima ekonomske krize</w:t>
            </w:r>
          </w:p>
        </w:tc>
      </w:tr>
      <w:tr w:rsidR="00673C8E" w:rsidRPr="00C926BF" w:rsidTr="003F51C8">
        <w:trPr>
          <w:trHeight w:val="307"/>
        </w:trPr>
        <w:tc>
          <w:tcPr>
            <w:tcW w:w="1271" w:type="dxa"/>
            <w:shd w:val="clear" w:color="auto" w:fill="DBE5F1" w:themeFill="accent1" w:themeFillTint="33"/>
          </w:tcPr>
          <w:p w:rsidR="00673C8E" w:rsidRPr="003F51C8" w:rsidRDefault="0042327A" w:rsidP="00673C8E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736" w:type="dxa"/>
            <w:shd w:val="clear" w:color="auto" w:fill="DBE5F1" w:themeFill="accent1" w:themeFillTint="33"/>
          </w:tcPr>
          <w:p w:rsidR="00673C8E" w:rsidRPr="003F51C8" w:rsidRDefault="00673C8E" w:rsidP="00673C8E">
            <w:pPr>
              <w:pStyle w:val="ListParagraph"/>
              <w:spacing w:line="288" w:lineRule="auto"/>
              <w:ind w:left="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51C8">
              <w:rPr>
                <w:rFonts w:ascii="Times New Roman" w:hAnsi="Times New Roman"/>
                <w:sz w:val="24"/>
                <w:szCs w:val="24"/>
              </w:rPr>
              <w:t>Digitalna transformacija finansijskog sistema i njen uticaj na monetarnu politiku</w:t>
            </w:r>
          </w:p>
        </w:tc>
      </w:tr>
      <w:tr w:rsidR="003F51C8" w:rsidRPr="00C926BF" w:rsidTr="003F51C8">
        <w:trPr>
          <w:trHeight w:val="269"/>
        </w:trPr>
        <w:tc>
          <w:tcPr>
            <w:tcW w:w="1271" w:type="dxa"/>
            <w:shd w:val="clear" w:color="auto" w:fill="DBE5F1" w:themeFill="accent1" w:themeFillTint="33"/>
          </w:tcPr>
          <w:p w:rsidR="003F51C8" w:rsidRPr="003F51C8" w:rsidRDefault="003F51C8" w:rsidP="00673C8E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1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32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36" w:type="dxa"/>
            <w:shd w:val="clear" w:color="auto" w:fill="DBE5F1" w:themeFill="accent1" w:themeFillTint="33"/>
          </w:tcPr>
          <w:p w:rsidR="003F51C8" w:rsidRPr="003F51C8" w:rsidRDefault="003F51C8" w:rsidP="003F51C8">
            <w:pPr>
              <w:pStyle w:val="NormalWeb"/>
              <w:spacing w:line="288" w:lineRule="auto"/>
              <w:jc w:val="both"/>
            </w:pPr>
            <w:r w:rsidRPr="003F51C8">
              <w:t>Monetarna politika u kontekstu klimatskih promjena („zelene finansije“)</w:t>
            </w:r>
          </w:p>
        </w:tc>
      </w:tr>
      <w:tr w:rsidR="0075262B" w:rsidRPr="00C926BF" w:rsidTr="003F51C8">
        <w:trPr>
          <w:trHeight w:val="269"/>
        </w:trPr>
        <w:tc>
          <w:tcPr>
            <w:tcW w:w="1271" w:type="dxa"/>
            <w:shd w:val="clear" w:color="auto" w:fill="DBE5F1" w:themeFill="accent1" w:themeFillTint="33"/>
          </w:tcPr>
          <w:p w:rsidR="0075262B" w:rsidRPr="003F51C8" w:rsidRDefault="0042327A" w:rsidP="00673C8E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736" w:type="dxa"/>
            <w:shd w:val="clear" w:color="auto" w:fill="DBE5F1" w:themeFill="accent1" w:themeFillTint="33"/>
          </w:tcPr>
          <w:p w:rsidR="0075262B" w:rsidRPr="003F51C8" w:rsidRDefault="0075262B" w:rsidP="003F51C8">
            <w:pPr>
              <w:pStyle w:val="NormalWeb"/>
              <w:spacing w:line="288" w:lineRule="auto"/>
              <w:jc w:val="both"/>
            </w:pPr>
            <w:r>
              <w:t>Može li Bosna i Hercegovina postati društvo bez gotovine?</w:t>
            </w:r>
          </w:p>
        </w:tc>
      </w:tr>
      <w:tr w:rsidR="00673C8E" w:rsidRPr="00C926BF" w:rsidTr="003F51C8">
        <w:trPr>
          <w:trHeight w:val="269"/>
        </w:trPr>
        <w:tc>
          <w:tcPr>
            <w:tcW w:w="1271" w:type="dxa"/>
            <w:shd w:val="clear" w:color="auto" w:fill="DBE5F1" w:themeFill="accent1" w:themeFillTint="33"/>
          </w:tcPr>
          <w:p w:rsidR="00673C8E" w:rsidRPr="003F51C8" w:rsidRDefault="0042327A" w:rsidP="003F51C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736" w:type="dxa"/>
            <w:shd w:val="clear" w:color="auto" w:fill="DBE5F1" w:themeFill="accent1" w:themeFillTint="33"/>
          </w:tcPr>
          <w:p w:rsidR="00673C8E" w:rsidRPr="003F51C8" w:rsidRDefault="00673C8E" w:rsidP="003F51C8">
            <w:pPr>
              <w:pStyle w:val="NormalWeb"/>
              <w:spacing w:line="288" w:lineRule="auto"/>
              <w:jc w:val="both"/>
            </w:pPr>
            <w:r>
              <w:t>Klimatske promjene i bankarski sektor – ko će finansirati zelenu tranziciju?</w:t>
            </w:r>
          </w:p>
        </w:tc>
      </w:tr>
    </w:tbl>
    <w:p w:rsidR="0072122F" w:rsidRDefault="0072122F"/>
    <w:sectPr w:rsidR="0072122F" w:rsidSect="000206C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F7812"/>
    <w:multiLevelType w:val="hybridMultilevel"/>
    <w:tmpl w:val="42D8A82A"/>
    <w:lvl w:ilvl="0" w:tplc="F04AEB3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4B6F12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DE8A7D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D96778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9C41C2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D4C5FE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0CC0FB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236250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E92464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41853E74"/>
    <w:multiLevelType w:val="hybridMultilevel"/>
    <w:tmpl w:val="4CB64B84"/>
    <w:lvl w:ilvl="0" w:tplc="53FEC0B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2ECE3E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6B0A88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AA2F34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D18C42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1DE608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3400BF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60A4E9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EBAD00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59FA2340"/>
    <w:multiLevelType w:val="hybridMultilevel"/>
    <w:tmpl w:val="90A20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1D0E2A"/>
    <w:multiLevelType w:val="hybridMultilevel"/>
    <w:tmpl w:val="1B84E4CE"/>
    <w:lvl w:ilvl="0" w:tplc="3078ECB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ED837B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5785C4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0002A0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B60883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3E451F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59EE44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3247C4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8DEF61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881"/>
    <w:rsid w:val="000206C4"/>
    <w:rsid w:val="001C2906"/>
    <w:rsid w:val="002118C2"/>
    <w:rsid w:val="002A3540"/>
    <w:rsid w:val="002C4759"/>
    <w:rsid w:val="00315A82"/>
    <w:rsid w:val="0039736D"/>
    <w:rsid w:val="003F51C8"/>
    <w:rsid w:val="0042327A"/>
    <w:rsid w:val="00441231"/>
    <w:rsid w:val="00453EC6"/>
    <w:rsid w:val="005269F4"/>
    <w:rsid w:val="005B745B"/>
    <w:rsid w:val="00643316"/>
    <w:rsid w:val="00673C8E"/>
    <w:rsid w:val="0072122F"/>
    <w:rsid w:val="0075262B"/>
    <w:rsid w:val="007B2165"/>
    <w:rsid w:val="008248B5"/>
    <w:rsid w:val="0084361A"/>
    <w:rsid w:val="0088712F"/>
    <w:rsid w:val="008B6ABD"/>
    <w:rsid w:val="008B6C1C"/>
    <w:rsid w:val="008C43B1"/>
    <w:rsid w:val="00A01881"/>
    <w:rsid w:val="00BE77CD"/>
    <w:rsid w:val="00C34CFF"/>
    <w:rsid w:val="00C926BF"/>
    <w:rsid w:val="00D3010F"/>
    <w:rsid w:val="00D34932"/>
    <w:rsid w:val="00FD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7211E"/>
  <w15:docId w15:val="{6A4D5E1F-11A5-4CEC-8FC2-0545162AF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22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1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BE77CD"/>
    <w:pPr>
      <w:ind w:left="720"/>
      <w:contextualSpacing/>
    </w:pPr>
    <w:rPr>
      <w:rFonts w:ascii="Calibri" w:eastAsia="Times New Roman" w:hAnsi="Calibri" w:cs="Times New Roman"/>
      <w:lang w:val="bs-Latn-BA" w:eastAsia="bs-Latn-BA"/>
    </w:rPr>
  </w:style>
  <w:style w:type="paragraph" w:styleId="NormalWeb">
    <w:name w:val="Normal (Web)"/>
    <w:basedOn w:val="Normal"/>
    <w:uiPriority w:val="99"/>
    <w:unhideWhenUsed/>
    <w:rsid w:val="00C92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0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563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110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28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734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006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Branka</cp:lastModifiedBy>
  <cp:revision>9</cp:revision>
  <dcterms:created xsi:type="dcterms:W3CDTF">2026-10-14T10:20:00Z</dcterms:created>
  <dcterms:modified xsi:type="dcterms:W3CDTF">2026-10-14T10:31:00Z</dcterms:modified>
</cp:coreProperties>
</file>