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007" w:type="dxa"/>
        <w:tblLook w:val="0600" w:firstRow="0" w:lastRow="0" w:firstColumn="0" w:lastColumn="0" w:noHBand="1" w:noVBand="1"/>
      </w:tblPr>
      <w:tblGrid>
        <w:gridCol w:w="1620"/>
        <w:gridCol w:w="11387"/>
      </w:tblGrid>
      <w:tr w:rsidR="00C926BF" w:rsidRPr="00C926BF" w:rsidTr="00C926BF">
        <w:trPr>
          <w:trHeight w:val="275"/>
        </w:trPr>
        <w:tc>
          <w:tcPr>
            <w:tcW w:w="1620" w:type="dxa"/>
          </w:tcPr>
          <w:p w:rsidR="00C926BF" w:rsidRPr="00C926BF" w:rsidRDefault="00C926BF" w:rsidP="00C926BF">
            <w:pPr>
              <w:spacing w:line="288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26BF">
              <w:rPr>
                <w:rFonts w:ascii="Arial" w:hAnsi="Arial" w:cs="Arial"/>
                <w:b/>
                <w:sz w:val="24"/>
                <w:szCs w:val="24"/>
              </w:rPr>
              <w:t>Red.br.</w:t>
            </w:r>
          </w:p>
        </w:tc>
        <w:tc>
          <w:tcPr>
            <w:tcW w:w="11387" w:type="dxa"/>
          </w:tcPr>
          <w:p w:rsidR="00C926BF" w:rsidRPr="00C926BF" w:rsidRDefault="00C926BF" w:rsidP="00C926BF">
            <w:pPr>
              <w:spacing w:line="288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26BF">
              <w:rPr>
                <w:rFonts w:ascii="Arial" w:hAnsi="Arial" w:cs="Arial"/>
                <w:b/>
                <w:sz w:val="24"/>
                <w:szCs w:val="24"/>
              </w:rPr>
              <w:t>TEMA</w:t>
            </w:r>
          </w:p>
        </w:tc>
      </w:tr>
      <w:tr w:rsidR="00C926BF" w:rsidRPr="00C926BF" w:rsidTr="00C926BF">
        <w:trPr>
          <w:trHeight w:val="275"/>
        </w:trPr>
        <w:tc>
          <w:tcPr>
            <w:tcW w:w="1620" w:type="dxa"/>
            <w:shd w:val="clear" w:color="auto" w:fill="FDE9D9" w:themeFill="accent6" w:themeFillTint="33"/>
          </w:tcPr>
          <w:p w:rsidR="00C926BF" w:rsidRPr="00C926BF" w:rsidRDefault="00C926BF" w:rsidP="00C926BF">
            <w:pPr>
              <w:spacing w:line="288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26B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87" w:type="dxa"/>
            <w:shd w:val="clear" w:color="auto" w:fill="FDE9D9" w:themeFill="accent6" w:themeFillTint="33"/>
          </w:tcPr>
          <w:p w:rsidR="00C926BF" w:rsidRPr="00C926BF" w:rsidRDefault="00C926BF" w:rsidP="00C926BF">
            <w:pPr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  <w:r w:rsidRPr="00C926BF">
              <w:rPr>
                <w:rFonts w:ascii="Arial" w:hAnsi="Arial" w:cs="Arial"/>
                <w:sz w:val="24"/>
                <w:szCs w:val="24"/>
              </w:rPr>
              <w:t>Upravljanje deviznim rezervama i devizne rezerve CB BiH</w:t>
            </w:r>
          </w:p>
        </w:tc>
      </w:tr>
      <w:tr w:rsidR="00C926BF" w:rsidRPr="00C926BF" w:rsidTr="00C926BF">
        <w:trPr>
          <w:trHeight w:val="285"/>
        </w:trPr>
        <w:tc>
          <w:tcPr>
            <w:tcW w:w="1620" w:type="dxa"/>
            <w:shd w:val="clear" w:color="auto" w:fill="FDE9D9" w:themeFill="accent6" w:themeFillTint="33"/>
          </w:tcPr>
          <w:p w:rsidR="00C926BF" w:rsidRPr="00C926BF" w:rsidRDefault="00C926BF" w:rsidP="00C926BF">
            <w:pPr>
              <w:spacing w:line="288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26B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87" w:type="dxa"/>
            <w:shd w:val="clear" w:color="auto" w:fill="FDE9D9" w:themeFill="accent6" w:themeFillTint="33"/>
          </w:tcPr>
          <w:p w:rsidR="00C926BF" w:rsidRPr="00C926BF" w:rsidRDefault="00C926BF" w:rsidP="00C926BF">
            <w:pPr>
              <w:pStyle w:val="ListParagraph"/>
              <w:spacing w:line="288" w:lineRule="auto"/>
              <w:ind w:left="36"/>
              <w:rPr>
                <w:rFonts w:ascii="Arial" w:hAnsi="Arial" w:cs="Arial"/>
                <w:sz w:val="24"/>
                <w:szCs w:val="24"/>
              </w:rPr>
            </w:pPr>
            <w:r w:rsidRPr="00C926BF">
              <w:rPr>
                <w:rFonts w:ascii="Arial" w:hAnsi="Arial" w:cs="Arial"/>
                <w:sz w:val="24"/>
                <w:szCs w:val="24"/>
              </w:rPr>
              <w:t>Komparativna analiza monetarnih agregata u praksi ECB i FED</w:t>
            </w:r>
          </w:p>
        </w:tc>
      </w:tr>
      <w:tr w:rsidR="00C926BF" w:rsidRPr="00C926BF" w:rsidTr="00C926BF">
        <w:trPr>
          <w:trHeight w:val="275"/>
        </w:trPr>
        <w:tc>
          <w:tcPr>
            <w:tcW w:w="1620" w:type="dxa"/>
            <w:shd w:val="clear" w:color="auto" w:fill="FDE9D9" w:themeFill="accent6" w:themeFillTint="33"/>
          </w:tcPr>
          <w:p w:rsidR="00C926BF" w:rsidRPr="00C926BF" w:rsidRDefault="00C926BF" w:rsidP="00C926BF">
            <w:pPr>
              <w:spacing w:line="288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26B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87" w:type="dxa"/>
            <w:shd w:val="clear" w:color="auto" w:fill="FDE9D9" w:themeFill="accent6" w:themeFillTint="33"/>
          </w:tcPr>
          <w:p w:rsidR="00C926BF" w:rsidRPr="00C926BF" w:rsidRDefault="00C926BF" w:rsidP="00C926BF">
            <w:pPr>
              <w:pStyle w:val="ListParagraph"/>
              <w:spacing w:line="288" w:lineRule="auto"/>
              <w:ind w:left="36"/>
              <w:rPr>
                <w:rFonts w:ascii="Arial" w:hAnsi="Arial" w:cs="Arial"/>
                <w:sz w:val="24"/>
                <w:szCs w:val="24"/>
              </w:rPr>
            </w:pPr>
            <w:r w:rsidRPr="00C926BF">
              <w:rPr>
                <w:rFonts w:ascii="Arial" w:hAnsi="Arial" w:cs="Arial"/>
                <w:sz w:val="24"/>
                <w:szCs w:val="24"/>
              </w:rPr>
              <w:t>Strategije monetarne politike - targetiranje deviznog kursa, inflacije..</w:t>
            </w:r>
          </w:p>
        </w:tc>
      </w:tr>
      <w:tr w:rsidR="00C926BF" w:rsidRPr="00C926BF" w:rsidTr="00C926BF">
        <w:trPr>
          <w:trHeight w:val="262"/>
        </w:trPr>
        <w:tc>
          <w:tcPr>
            <w:tcW w:w="1620" w:type="dxa"/>
            <w:shd w:val="clear" w:color="auto" w:fill="FDE9D9" w:themeFill="accent6" w:themeFillTint="33"/>
          </w:tcPr>
          <w:p w:rsidR="00C926BF" w:rsidRPr="00C926BF" w:rsidRDefault="00C926BF" w:rsidP="00C926BF">
            <w:pPr>
              <w:spacing w:line="288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26B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87" w:type="dxa"/>
            <w:shd w:val="clear" w:color="auto" w:fill="FDE9D9" w:themeFill="accent6" w:themeFillTint="33"/>
          </w:tcPr>
          <w:p w:rsidR="00C926BF" w:rsidRPr="00C926BF" w:rsidRDefault="00C926BF" w:rsidP="00C926BF">
            <w:pPr>
              <w:pStyle w:val="ListParagraph"/>
              <w:spacing w:line="288" w:lineRule="auto"/>
              <w:ind w:left="36"/>
              <w:rPr>
                <w:rFonts w:ascii="Arial" w:hAnsi="Arial" w:cs="Arial"/>
                <w:sz w:val="24"/>
                <w:szCs w:val="24"/>
              </w:rPr>
            </w:pPr>
            <w:r w:rsidRPr="00C926BF">
              <w:rPr>
                <w:rFonts w:ascii="Arial" w:hAnsi="Arial" w:cs="Arial"/>
                <w:sz w:val="24"/>
                <w:szCs w:val="24"/>
              </w:rPr>
              <w:t>Stabilnost deviznog kursa i monetarna politika u malim otvorenim ekonomijama</w:t>
            </w:r>
          </w:p>
        </w:tc>
      </w:tr>
      <w:tr w:rsidR="00C926BF" w:rsidRPr="00C926BF" w:rsidTr="00C926BF">
        <w:trPr>
          <w:trHeight w:val="281"/>
        </w:trPr>
        <w:tc>
          <w:tcPr>
            <w:tcW w:w="1620" w:type="dxa"/>
            <w:shd w:val="clear" w:color="auto" w:fill="FDE9D9" w:themeFill="accent6" w:themeFillTint="33"/>
          </w:tcPr>
          <w:p w:rsidR="00C926BF" w:rsidRPr="00C926BF" w:rsidRDefault="00C926BF" w:rsidP="00C926BF">
            <w:pPr>
              <w:spacing w:line="288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26B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87" w:type="dxa"/>
            <w:shd w:val="clear" w:color="auto" w:fill="FDE9D9" w:themeFill="accent6" w:themeFillTint="33"/>
          </w:tcPr>
          <w:p w:rsidR="00C926BF" w:rsidRPr="00C926BF" w:rsidRDefault="00C926BF" w:rsidP="00C926BF">
            <w:pPr>
              <w:pStyle w:val="ListParagraph"/>
              <w:spacing w:line="288" w:lineRule="auto"/>
              <w:ind w:left="36"/>
              <w:rPr>
                <w:rFonts w:ascii="Arial" w:hAnsi="Arial" w:cs="Arial"/>
                <w:sz w:val="24"/>
                <w:szCs w:val="24"/>
              </w:rPr>
            </w:pPr>
            <w:r w:rsidRPr="00C926BF">
              <w:rPr>
                <w:rFonts w:ascii="Arial" w:hAnsi="Arial" w:cs="Arial"/>
                <w:sz w:val="24"/>
                <w:szCs w:val="24"/>
              </w:rPr>
              <w:t>Monetarna politika Evropske centralne banke nakon finansijske krize 2008.</w:t>
            </w:r>
          </w:p>
        </w:tc>
      </w:tr>
      <w:tr w:rsidR="00C926BF" w:rsidRPr="00C926BF" w:rsidTr="00C926BF">
        <w:trPr>
          <w:trHeight w:val="275"/>
        </w:trPr>
        <w:tc>
          <w:tcPr>
            <w:tcW w:w="1620" w:type="dxa"/>
            <w:shd w:val="clear" w:color="auto" w:fill="FDE9D9" w:themeFill="accent6" w:themeFillTint="33"/>
          </w:tcPr>
          <w:p w:rsidR="00C926BF" w:rsidRPr="00C926BF" w:rsidRDefault="00C926BF" w:rsidP="00C926BF">
            <w:pPr>
              <w:spacing w:line="288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26B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87" w:type="dxa"/>
            <w:shd w:val="clear" w:color="auto" w:fill="FDE9D9" w:themeFill="accent6" w:themeFillTint="33"/>
          </w:tcPr>
          <w:p w:rsidR="00C926BF" w:rsidRPr="00C926BF" w:rsidRDefault="00C926BF" w:rsidP="00C926BF">
            <w:pPr>
              <w:pStyle w:val="ListParagraph"/>
              <w:spacing w:line="288" w:lineRule="auto"/>
              <w:ind w:left="36"/>
              <w:rPr>
                <w:rFonts w:ascii="Arial" w:hAnsi="Arial" w:cs="Arial"/>
                <w:sz w:val="24"/>
                <w:szCs w:val="24"/>
              </w:rPr>
            </w:pPr>
            <w:r w:rsidRPr="00C926BF">
              <w:rPr>
                <w:rFonts w:ascii="Arial" w:hAnsi="Arial" w:cs="Arial"/>
                <w:sz w:val="24"/>
                <w:szCs w:val="24"/>
              </w:rPr>
              <w:t>Multiplikacija depozita i proces formiranja novčane mase</w:t>
            </w:r>
          </w:p>
        </w:tc>
      </w:tr>
      <w:tr w:rsidR="00C926BF" w:rsidRPr="00C926BF" w:rsidTr="00C926BF">
        <w:trPr>
          <w:trHeight w:val="275"/>
        </w:trPr>
        <w:tc>
          <w:tcPr>
            <w:tcW w:w="1620" w:type="dxa"/>
            <w:shd w:val="clear" w:color="auto" w:fill="FDE9D9" w:themeFill="accent6" w:themeFillTint="33"/>
          </w:tcPr>
          <w:p w:rsidR="00C926BF" w:rsidRPr="00C926BF" w:rsidRDefault="00C926BF" w:rsidP="00C926BF">
            <w:pPr>
              <w:spacing w:line="288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26B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387" w:type="dxa"/>
            <w:shd w:val="clear" w:color="auto" w:fill="FDE9D9" w:themeFill="accent6" w:themeFillTint="33"/>
          </w:tcPr>
          <w:p w:rsidR="00C926BF" w:rsidRPr="00C926BF" w:rsidRDefault="00C926BF" w:rsidP="00C926BF">
            <w:pPr>
              <w:pStyle w:val="ListParagraph"/>
              <w:spacing w:line="288" w:lineRule="auto"/>
              <w:ind w:left="36"/>
              <w:rPr>
                <w:rFonts w:ascii="Arial" w:hAnsi="Arial" w:cs="Arial"/>
                <w:sz w:val="24"/>
                <w:szCs w:val="24"/>
              </w:rPr>
            </w:pPr>
            <w:r w:rsidRPr="00C926BF">
              <w:rPr>
                <w:rFonts w:ascii="Arial" w:hAnsi="Arial" w:cs="Arial"/>
                <w:sz w:val="24"/>
                <w:szCs w:val="24"/>
              </w:rPr>
              <w:t>Nominalni i realni efektivni kurs konvertibilne marke (KM)</w:t>
            </w:r>
          </w:p>
        </w:tc>
      </w:tr>
      <w:tr w:rsidR="00C926BF" w:rsidRPr="00C926BF" w:rsidTr="00C926BF">
        <w:trPr>
          <w:trHeight w:val="275"/>
        </w:trPr>
        <w:tc>
          <w:tcPr>
            <w:tcW w:w="1620" w:type="dxa"/>
            <w:shd w:val="clear" w:color="auto" w:fill="FDE9D9" w:themeFill="accent6" w:themeFillTint="33"/>
          </w:tcPr>
          <w:p w:rsidR="00C926BF" w:rsidRPr="00C926BF" w:rsidRDefault="00C926BF" w:rsidP="00C926BF">
            <w:pPr>
              <w:spacing w:line="288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26B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87" w:type="dxa"/>
            <w:shd w:val="clear" w:color="auto" w:fill="FDE9D9" w:themeFill="accent6" w:themeFillTint="33"/>
          </w:tcPr>
          <w:p w:rsidR="00C926BF" w:rsidRPr="00C926BF" w:rsidRDefault="00C926BF" w:rsidP="008248B5">
            <w:pPr>
              <w:pStyle w:val="ListParagraph"/>
              <w:spacing w:line="288" w:lineRule="auto"/>
              <w:ind w:left="36"/>
              <w:rPr>
                <w:rFonts w:ascii="Arial" w:hAnsi="Arial" w:cs="Arial"/>
                <w:sz w:val="24"/>
                <w:szCs w:val="24"/>
              </w:rPr>
            </w:pPr>
            <w:r w:rsidRPr="00C926BF">
              <w:rPr>
                <w:rFonts w:ascii="Arial" w:hAnsi="Arial" w:cs="Arial"/>
                <w:sz w:val="24"/>
                <w:szCs w:val="24"/>
              </w:rPr>
              <w:t>Kriptovalute i monetarn</w:t>
            </w:r>
            <w:r w:rsidR="008248B5">
              <w:rPr>
                <w:rFonts w:ascii="Arial" w:hAnsi="Arial" w:cs="Arial"/>
                <w:sz w:val="24"/>
                <w:szCs w:val="24"/>
              </w:rPr>
              <w:t>i suverenitet</w:t>
            </w:r>
            <w:bookmarkStart w:id="0" w:name="_GoBack"/>
            <w:bookmarkEnd w:id="0"/>
            <w:r w:rsidRPr="00C926BF">
              <w:rPr>
                <w:rFonts w:ascii="Arial" w:hAnsi="Arial" w:cs="Arial"/>
                <w:sz w:val="24"/>
                <w:szCs w:val="24"/>
              </w:rPr>
              <w:t xml:space="preserve"> država</w:t>
            </w:r>
          </w:p>
        </w:tc>
      </w:tr>
      <w:tr w:rsidR="00C926BF" w:rsidRPr="00C926BF" w:rsidTr="00C926BF">
        <w:trPr>
          <w:trHeight w:val="275"/>
        </w:trPr>
        <w:tc>
          <w:tcPr>
            <w:tcW w:w="1620" w:type="dxa"/>
            <w:shd w:val="clear" w:color="auto" w:fill="FDE9D9" w:themeFill="accent6" w:themeFillTint="33"/>
          </w:tcPr>
          <w:p w:rsidR="00C926BF" w:rsidRPr="00C926BF" w:rsidRDefault="00C926BF" w:rsidP="00C926BF">
            <w:pPr>
              <w:spacing w:line="288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26BF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1387" w:type="dxa"/>
            <w:shd w:val="clear" w:color="auto" w:fill="FDE9D9" w:themeFill="accent6" w:themeFillTint="33"/>
          </w:tcPr>
          <w:p w:rsidR="00C926BF" w:rsidRPr="00C926BF" w:rsidRDefault="00C926BF" w:rsidP="008248B5">
            <w:pPr>
              <w:pStyle w:val="ListParagraph"/>
              <w:spacing w:line="288" w:lineRule="auto"/>
              <w:ind w:left="36"/>
              <w:rPr>
                <w:rFonts w:ascii="Arial" w:hAnsi="Arial" w:cs="Arial"/>
                <w:sz w:val="24"/>
                <w:szCs w:val="24"/>
              </w:rPr>
            </w:pPr>
            <w:r w:rsidRPr="00C926BF">
              <w:rPr>
                <w:rFonts w:ascii="Arial" w:hAnsi="Arial" w:cs="Arial"/>
                <w:sz w:val="24"/>
                <w:szCs w:val="24"/>
              </w:rPr>
              <w:t xml:space="preserve">Digitalne valute centralnih banaka (CBDC) </w:t>
            </w:r>
            <w:r w:rsidR="008248B5">
              <w:rPr>
                <w:rFonts w:ascii="Arial" w:hAnsi="Arial" w:cs="Arial"/>
                <w:sz w:val="24"/>
                <w:szCs w:val="24"/>
              </w:rPr>
              <w:t>-</w:t>
            </w:r>
            <w:r w:rsidRPr="00C926BF">
              <w:rPr>
                <w:rFonts w:ascii="Arial" w:hAnsi="Arial" w:cs="Arial"/>
                <w:sz w:val="24"/>
                <w:szCs w:val="24"/>
              </w:rPr>
              <w:t xml:space="preserve"> budućnost novca</w:t>
            </w:r>
          </w:p>
        </w:tc>
      </w:tr>
      <w:tr w:rsidR="00C926BF" w:rsidRPr="00C926BF" w:rsidTr="00C926BF">
        <w:trPr>
          <w:trHeight w:val="285"/>
        </w:trPr>
        <w:tc>
          <w:tcPr>
            <w:tcW w:w="1620" w:type="dxa"/>
            <w:shd w:val="clear" w:color="auto" w:fill="FDE9D9" w:themeFill="accent6" w:themeFillTint="33"/>
          </w:tcPr>
          <w:p w:rsidR="00C926BF" w:rsidRPr="00C926BF" w:rsidRDefault="00C926BF" w:rsidP="00C926BF">
            <w:pPr>
              <w:spacing w:line="288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26B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387" w:type="dxa"/>
            <w:shd w:val="clear" w:color="auto" w:fill="FDE9D9" w:themeFill="accent6" w:themeFillTint="33"/>
          </w:tcPr>
          <w:p w:rsidR="00C926BF" w:rsidRPr="00C926BF" w:rsidRDefault="00C926BF" w:rsidP="00C926BF">
            <w:pPr>
              <w:pStyle w:val="ListParagraph"/>
              <w:spacing w:line="288" w:lineRule="auto"/>
              <w:ind w:left="36"/>
              <w:rPr>
                <w:rFonts w:ascii="Arial" w:hAnsi="Arial" w:cs="Arial"/>
                <w:sz w:val="24"/>
                <w:szCs w:val="24"/>
              </w:rPr>
            </w:pPr>
            <w:r w:rsidRPr="00C926BF">
              <w:rPr>
                <w:rFonts w:ascii="Arial" w:hAnsi="Arial" w:cs="Arial"/>
                <w:sz w:val="24"/>
                <w:szCs w:val="24"/>
              </w:rPr>
              <w:t>Odnos monetarne i fiskalne politike u uslovima ekonomske krize</w:t>
            </w:r>
          </w:p>
        </w:tc>
      </w:tr>
      <w:tr w:rsidR="00C926BF" w:rsidRPr="00C926BF" w:rsidTr="00C926BF">
        <w:trPr>
          <w:trHeight w:val="307"/>
        </w:trPr>
        <w:tc>
          <w:tcPr>
            <w:tcW w:w="1620" w:type="dxa"/>
            <w:shd w:val="clear" w:color="auto" w:fill="FDE9D9" w:themeFill="accent6" w:themeFillTint="33"/>
          </w:tcPr>
          <w:p w:rsidR="00C926BF" w:rsidRPr="00C926BF" w:rsidRDefault="00C926BF" w:rsidP="00C926BF">
            <w:pPr>
              <w:spacing w:line="288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26B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1387" w:type="dxa"/>
            <w:shd w:val="clear" w:color="auto" w:fill="FDE9D9" w:themeFill="accent6" w:themeFillTint="33"/>
          </w:tcPr>
          <w:p w:rsidR="00C926BF" w:rsidRPr="00C926BF" w:rsidRDefault="00C926BF" w:rsidP="00C926BF">
            <w:pPr>
              <w:pStyle w:val="ListParagraph"/>
              <w:spacing w:line="288" w:lineRule="auto"/>
              <w:ind w:left="36"/>
              <w:rPr>
                <w:rFonts w:ascii="Arial" w:hAnsi="Arial" w:cs="Arial"/>
                <w:sz w:val="24"/>
                <w:szCs w:val="24"/>
              </w:rPr>
            </w:pPr>
            <w:r w:rsidRPr="00C926BF">
              <w:rPr>
                <w:rFonts w:ascii="Arial" w:hAnsi="Arial" w:cs="Arial"/>
                <w:sz w:val="24"/>
                <w:szCs w:val="24"/>
              </w:rPr>
              <w:t>Digitalna transformacija finansijskog sistema i njen uticaj na monetarnu politiku</w:t>
            </w:r>
          </w:p>
        </w:tc>
      </w:tr>
      <w:tr w:rsidR="00C926BF" w:rsidRPr="00C926BF" w:rsidTr="00C926BF">
        <w:trPr>
          <w:trHeight w:val="269"/>
        </w:trPr>
        <w:tc>
          <w:tcPr>
            <w:tcW w:w="1620" w:type="dxa"/>
            <w:shd w:val="clear" w:color="auto" w:fill="FDE9D9" w:themeFill="accent6" w:themeFillTint="33"/>
          </w:tcPr>
          <w:p w:rsidR="00C926BF" w:rsidRPr="00C926BF" w:rsidRDefault="00C926BF" w:rsidP="00C926BF">
            <w:pPr>
              <w:spacing w:line="288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26B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1387" w:type="dxa"/>
            <w:shd w:val="clear" w:color="auto" w:fill="FDE9D9" w:themeFill="accent6" w:themeFillTint="33"/>
          </w:tcPr>
          <w:p w:rsidR="00C926BF" w:rsidRPr="00C926BF" w:rsidRDefault="00C926BF" w:rsidP="00C926BF">
            <w:pPr>
              <w:pStyle w:val="NormalWeb"/>
              <w:spacing w:line="288" w:lineRule="auto"/>
              <w:rPr>
                <w:rFonts w:ascii="Arial" w:hAnsi="Arial" w:cs="Arial"/>
              </w:rPr>
            </w:pPr>
            <w:r w:rsidRPr="00C926BF">
              <w:rPr>
                <w:rFonts w:ascii="Arial" w:hAnsi="Arial" w:cs="Arial"/>
              </w:rPr>
              <w:t>Monetarna politika u kontekstu klimatskih promena („zelene finansije“)</w:t>
            </w:r>
          </w:p>
        </w:tc>
      </w:tr>
    </w:tbl>
    <w:p w:rsidR="0072122F" w:rsidRDefault="0072122F"/>
    <w:sectPr w:rsidR="0072122F" w:rsidSect="000206C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FA2340"/>
    <w:multiLevelType w:val="hybridMultilevel"/>
    <w:tmpl w:val="90A20D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881"/>
    <w:rsid w:val="000206C4"/>
    <w:rsid w:val="001C2906"/>
    <w:rsid w:val="002118C2"/>
    <w:rsid w:val="002A3540"/>
    <w:rsid w:val="002C4759"/>
    <w:rsid w:val="00315A82"/>
    <w:rsid w:val="0039736D"/>
    <w:rsid w:val="00453EC6"/>
    <w:rsid w:val="005269F4"/>
    <w:rsid w:val="005B745B"/>
    <w:rsid w:val="00643316"/>
    <w:rsid w:val="0072122F"/>
    <w:rsid w:val="007B2165"/>
    <w:rsid w:val="008248B5"/>
    <w:rsid w:val="0084361A"/>
    <w:rsid w:val="0088712F"/>
    <w:rsid w:val="008B6C1C"/>
    <w:rsid w:val="008C43B1"/>
    <w:rsid w:val="00A01881"/>
    <w:rsid w:val="00BE77CD"/>
    <w:rsid w:val="00C34CFF"/>
    <w:rsid w:val="00C926BF"/>
    <w:rsid w:val="00FD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7DEEF"/>
  <w15:docId w15:val="{6A4D5E1F-11A5-4CEC-8FC2-0545162AF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2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18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BE77CD"/>
    <w:pPr>
      <w:ind w:left="720"/>
      <w:contextualSpacing/>
    </w:pPr>
    <w:rPr>
      <w:rFonts w:ascii="Calibri" w:eastAsia="Times New Roman" w:hAnsi="Calibri" w:cs="Times New Roman"/>
      <w:lang w:val="bs-Latn-BA" w:eastAsia="bs-Latn-BA"/>
    </w:rPr>
  </w:style>
  <w:style w:type="paragraph" w:styleId="NormalWeb">
    <w:name w:val="Normal (Web)"/>
    <w:basedOn w:val="Normal"/>
    <w:uiPriority w:val="99"/>
    <w:unhideWhenUsed/>
    <w:rsid w:val="00C92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Branka</cp:lastModifiedBy>
  <cp:revision>4</cp:revision>
  <dcterms:created xsi:type="dcterms:W3CDTF">2025-10-13T08:48:00Z</dcterms:created>
  <dcterms:modified xsi:type="dcterms:W3CDTF">2025-10-13T08:55:00Z</dcterms:modified>
</cp:coreProperties>
</file>