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7C" w:rsidRDefault="00B7027C" w:rsidP="00B7027C">
      <w:pPr>
        <w:jc w:val="center"/>
        <w:rPr>
          <w:b/>
        </w:rPr>
      </w:pPr>
      <w:r>
        <w:rPr>
          <w:b/>
        </w:rPr>
        <w:t>СПИСАК</w:t>
      </w:r>
      <w:r w:rsidRPr="00B7027C">
        <w:rPr>
          <w:b/>
        </w:rPr>
        <w:t xml:space="preserve"> </w:t>
      </w:r>
      <w:r>
        <w:rPr>
          <w:b/>
        </w:rPr>
        <w:t>ПИТАЊА</w:t>
      </w:r>
      <w:r w:rsidRPr="00B7027C">
        <w:rPr>
          <w:b/>
        </w:rPr>
        <w:t xml:space="preserve"> </w:t>
      </w:r>
      <w:r>
        <w:rPr>
          <w:b/>
        </w:rPr>
        <w:t>ИЗ</w:t>
      </w:r>
      <w:r w:rsidRPr="00B7027C">
        <w:rPr>
          <w:b/>
        </w:rPr>
        <w:t xml:space="preserve"> </w:t>
      </w:r>
      <w:r>
        <w:rPr>
          <w:b/>
        </w:rPr>
        <w:t>ПРЕДМЕТА</w:t>
      </w:r>
      <w:r w:rsidRPr="00B7027C">
        <w:rPr>
          <w:b/>
        </w:rPr>
        <w:t xml:space="preserve"> </w:t>
      </w:r>
    </w:p>
    <w:p w:rsidR="00B7027C" w:rsidRPr="008C515D" w:rsidRDefault="00B7027C" w:rsidP="00B7027C">
      <w:pPr>
        <w:jc w:val="center"/>
        <w:rPr>
          <w:b/>
          <w:i/>
        </w:rPr>
      </w:pPr>
      <w:r w:rsidRPr="008C515D">
        <w:rPr>
          <w:b/>
          <w:i/>
        </w:rPr>
        <w:t>КОРПОРАТИВНЕ ФИНАНСИЈЕ</w:t>
      </w:r>
    </w:p>
    <w:p w:rsidR="00B7027C" w:rsidRPr="00B7027C" w:rsidRDefault="00B7027C" w:rsidP="00B7027C">
      <w:pPr>
        <w:jc w:val="center"/>
        <w:rPr>
          <w:b/>
        </w:rPr>
      </w:pPr>
      <w:r>
        <w:rPr>
          <w:b/>
        </w:rPr>
        <w:t>202</w:t>
      </w:r>
      <w:r w:rsidR="005E4962">
        <w:rPr>
          <w:b/>
        </w:rPr>
        <w:t>4</w:t>
      </w:r>
      <w:r>
        <w:rPr>
          <w:b/>
        </w:rPr>
        <w:t>/202</w:t>
      </w:r>
      <w:r w:rsidR="005E4962">
        <w:rPr>
          <w:b/>
        </w:rPr>
        <w:t>5</w:t>
      </w:r>
    </w:p>
    <w:p w:rsidR="00B7027C" w:rsidRPr="00B7027C" w:rsidRDefault="00B7027C" w:rsidP="00B7027C">
      <w:pPr>
        <w:jc w:val="center"/>
        <w:rPr>
          <w:b/>
        </w:rPr>
      </w:pPr>
    </w:p>
    <w:p w:rsidR="00B7027C" w:rsidRDefault="00B7027C" w:rsidP="00B7027C"/>
    <w:p w:rsidR="00865AF9" w:rsidRDefault="00865AF9" w:rsidP="009814A9">
      <w:pPr>
        <w:pStyle w:val="ListParagraph"/>
        <w:numPr>
          <w:ilvl w:val="0"/>
          <w:numId w:val="1"/>
        </w:numPr>
        <w:spacing w:after="60" w:line="276" w:lineRule="auto"/>
      </w:pPr>
      <w:r>
        <w:t>Одлуке о финансирању;</w:t>
      </w:r>
    </w:p>
    <w:p w:rsidR="00865AF9" w:rsidRDefault="00865AF9" w:rsidP="009814A9">
      <w:pPr>
        <w:pStyle w:val="ListParagraph"/>
        <w:numPr>
          <w:ilvl w:val="0"/>
          <w:numId w:val="1"/>
        </w:numPr>
        <w:spacing w:after="60" w:line="276" w:lineRule="auto"/>
      </w:pPr>
      <w:r>
        <w:t>Одлуке о инвестирању;</w:t>
      </w:r>
    </w:p>
    <w:p w:rsidR="009814A9" w:rsidRDefault="00865AF9" w:rsidP="009814A9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Одлуке о </w:t>
      </w:r>
      <w:r w:rsidR="009814A9">
        <w:t>дивиденди</w:t>
      </w:r>
      <w:r>
        <w:t>;</w:t>
      </w:r>
    </w:p>
    <w:p w:rsidR="008A2E6C" w:rsidRDefault="008A2E6C" w:rsidP="009814A9">
      <w:pPr>
        <w:pStyle w:val="ListParagraph"/>
        <w:numPr>
          <w:ilvl w:val="0"/>
          <w:numId w:val="1"/>
        </w:numPr>
        <w:spacing w:after="60" w:line="276" w:lineRule="auto"/>
      </w:pPr>
      <w:r>
        <w:t>Процјена вриједности капитала методом мултипликације и процјена тржишне вриједности акција и тржишне вриједности обвезница</w:t>
      </w:r>
      <w:r w:rsidR="00865AF9">
        <w:t>;</w:t>
      </w:r>
    </w:p>
    <w:p w:rsidR="00B7027C" w:rsidRDefault="00B7027C" w:rsidP="009814A9">
      <w:pPr>
        <w:pStyle w:val="ListParagraph"/>
        <w:numPr>
          <w:ilvl w:val="0"/>
          <w:numId w:val="1"/>
        </w:numPr>
        <w:spacing w:after="60" w:line="276" w:lineRule="auto"/>
      </w:pPr>
      <w:r>
        <w:t>Појм</w:t>
      </w:r>
      <w:r w:rsidR="009814A9">
        <w:t>овно одређење и циљ корпорације</w:t>
      </w:r>
      <w:r w:rsidR="00865AF9">
        <w:t>;</w:t>
      </w:r>
    </w:p>
    <w:p w:rsidR="009814A9" w:rsidRDefault="009814A9" w:rsidP="009814A9">
      <w:pPr>
        <w:pStyle w:val="ListParagraph"/>
        <w:numPr>
          <w:ilvl w:val="0"/>
          <w:numId w:val="1"/>
        </w:numPr>
        <w:spacing w:after="60" w:line="276" w:lineRule="auto"/>
      </w:pPr>
      <w:r>
        <w:t>Глобално, економско и финансијско окружење: основне одреднице глобалног економског окружења</w:t>
      </w:r>
      <w:r w:rsidR="00865AF9">
        <w:t>;</w:t>
      </w:r>
    </w:p>
    <w:p w:rsidR="00B7027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Лимитирајући фактори раста и развоја ек</w:t>
      </w:r>
      <w:r w:rsidR="00865AF9">
        <w:t>ономија земаља Западног Балкана;</w:t>
      </w:r>
    </w:p>
    <w:p w:rsidR="00B7027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У чему се огледа инсуфицијенција јавних финансија?</w:t>
      </w:r>
      <w:r w:rsidR="009814A9">
        <w:t xml:space="preserve"> (Економско-финансијска одрживост пензијског осигурања, здравственог система и система дјечије заштите)</w:t>
      </w:r>
    </w:p>
    <w:p w:rsidR="009814A9" w:rsidRDefault="009814A9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Фактори који утичу на цијену новца</w:t>
      </w:r>
      <w:r w:rsidR="00865AF9">
        <w:t>;</w:t>
      </w:r>
    </w:p>
    <w:p w:rsidR="009814A9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Појам, значај и </w:t>
      </w:r>
      <w:r w:rsidR="009814A9">
        <w:t>елементи финансијског система</w:t>
      </w:r>
      <w:r w:rsidR="00865AF9">
        <w:t>;</w:t>
      </w:r>
    </w:p>
    <w:p w:rsidR="00B7027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Рачуноводствени оквири</w:t>
      </w:r>
      <w:r w:rsidR="008A2E6C">
        <w:t xml:space="preserve"> за финансијско извјештавање</w:t>
      </w:r>
      <w:r>
        <w:t xml:space="preserve">, значај </w:t>
      </w:r>
      <w:r w:rsidR="00865AF9">
        <w:t>и улога финансијских извјештаја;</w:t>
      </w:r>
    </w:p>
    <w:p w:rsidR="009814A9" w:rsidRDefault="009814A9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Методе утврђивања пословног добитка и нето новчаног тока из пословне актиности</w:t>
      </w:r>
      <w:r w:rsidR="00865AF9">
        <w:t>: методе утврђивања пословног добитка;</w:t>
      </w:r>
    </w:p>
    <w:p w:rsidR="00865AF9" w:rsidRDefault="00865AF9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Методе утврђивања пословног добитка и нето новчаног тока из пословне актиности: методе утврђивања</w:t>
      </w:r>
      <w:r>
        <w:t xml:space="preserve"> нето новчаних токова;</w:t>
      </w:r>
    </w:p>
    <w:p w:rsidR="003F0B1C" w:rsidRDefault="003F0B1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Мјера квалитета пословног добитка</w:t>
      </w:r>
      <w:r w:rsidR="00865AF9">
        <w:t>;</w:t>
      </w:r>
    </w:p>
    <w:p w:rsidR="003F0B1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Сличности и разлике биланса према концепту </w:t>
      </w:r>
      <w:r w:rsidR="003F0B1C">
        <w:t>US GAAP и МРС/МСФИ: биланс стања према концепту US GAAP и према концепту МРС/МСФИ и биланс успјеха према концепту US GAAP и према концепту МРС/МСФИ</w:t>
      </w:r>
    </w:p>
    <w:p w:rsidR="003F0B1C" w:rsidRDefault="003F0B1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П</w:t>
      </w:r>
      <w:r w:rsidR="00B7027C">
        <w:t xml:space="preserve">роблеми </w:t>
      </w:r>
      <w:r>
        <w:t>конвертовања биланса са US GAAP на МРС/МСФИ и са МРС/МСФИ на US GAAP и разлике у примјени оба два концепта</w:t>
      </w:r>
      <w:r w:rsidR="00865AF9">
        <w:t>;</w:t>
      </w:r>
    </w:p>
    <w:p w:rsidR="008A2E6C" w:rsidRDefault="008A2E6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Финансијски извјештаји у функцији остваривања врхунског циља предузећа – кружни ток готовине</w:t>
      </w:r>
      <w:r w:rsidR="00865AF9">
        <w:t>;</w:t>
      </w:r>
    </w:p>
    <w:p w:rsidR="00B7027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Финансијски извјештаји у функцији остваривања врхунског циља предузећа</w:t>
      </w:r>
      <w:r w:rsidR="003F0B1C">
        <w:t xml:space="preserve"> – биланс стања</w:t>
      </w:r>
      <w:r w:rsidR="00865AF9">
        <w:t>;</w:t>
      </w:r>
    </w:p>
    <w:p w:rsidR="003F0B1C" w:rsidRDefault="003F0B1C" w:rsidP="003F0B1C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Финансијски извјештаји у функцији остваривања врхунског циља предузећа – биланс успјеха</w:t>
      </w:r>
    </w:p>
    <w:p w:rsidR="003F0B1C" w:rsidRDefault="003F0B1C" w:rsidP="003F0B1C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Финансијски извјештаји у функцији остваривања врхунског циља предузећа – извори и употреба готовине</w:t>
      </w:r>
      <w:r w:rsidR="002046D0">
        <w:t xml:space="preserve"> и извјештај о новчаним токовима;</w:t>
      </w:r>
      <w:bookmarkStart w:id="0" w:name="_GoBack"/>
      <w:bookmarkEnd w:id="0"/>
    </w:p>
    <w:p w:rsidR="00865AF9" w:rsidRDefault="00B7027C" w:rsidP="003F0B1C">
      <w:pPr>
        <w:pStyle w:val="ListParagraph"/>
        <w:numPr>
          <w:ilvl w:val="0"/>
          <w:numId w:val="1"/>
        </w:numPr>
        <w:spacing w:after="60" w:line="276" w:lineRule="auto"/>
      </w:pPr>
      <w:r>
        <w:lastRenderedPageBreak/>
        <w:t>Финансијски извјештаји и проблем вриједности</w:t>
      </w:r>
      <w:r w:rsidR="00F179E7">
        <w:t>: обрачунско нас</w:t>
      </w:r>
      <w:r w:rsidR="00865AF9">
        <w:t>прам готовинског рачуноводства;</w:t>
      </w:r>
    </w:p>
    <w:p w:rsidR="00B7027C" w:rsidRDefault="00865AF9" w:rsidP="003F0B1C">
      <w:pPr>
        <w:pStyle w:val="ListParagraph"/>
        <w:numPr>
          <w:ilvl w:val="0"/>
          <w:numId w:val="1"/>
        </w:numPr>
        <w:spacing w:after="60" w:line="276" w:lineRule="auto"/>
      </w:pPr>
      <w:r>
        <w:t>Т</w:t>
      </w:r>
      <w:r w:rsidR="00F179E7">
        <w:t>ржишна наспрам књиговодствене вриједности</w:t>
      </w:r>
      <w:r>
        <w:t>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Економска наспрам рачуноводствене добити, додата тржишна вриједност (МВА) и додата економска вриједност (ЕВА)</w:t>
      </w:r>
      <w:r w:rsidR="00865AF9">
        <w:t>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Финансијска анализа: </w:t>
      </w:r>
      <w:r w:rsidR="00B7027C">
        <w:t>Раци</w:t>
      </w:r>
      <w:r>
        <w:t>ја</w:t>
      </w:r>
      <w:r w:rsidR="00B7027C">
        <w:t xml:space="preserve"> профитабилности (рентабилности)</w:t>
      </w:r>
      <w:r w:rsidR="00865AF9">
        <w:t>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Финансијска анализа: Рација активности</w:t>
      </w:r>
      <w:r w:rsidR="00865AF9">
        <w:t>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Финансијска анализа: Рација ликвидности</w:t>
      </w:r>
      <w:r w:rsidR="00865AF9">
        <w:t>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Финансијска анализа: Рација финансирања</w:t>
      </w:r>
      <w:r w:rsidR="00865AF9">
        <w:t>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Финансијска анализа: </w:t>
      </w:r>
      <w:r w:rsidR="00B7027C">
        <w:t>Тржишн</w:t>
      </w:r>
      <w:r>
        <w:t>а рација</w:t>
      </w:r>
      <w:r w:rsidR="00865AF9">
        <w:t>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Финансијска анализа: </w:t>
      </w:r>
      <w:r w:rsidR="00865AF9">
        <w:t>Ду Понт систем анализе;</w:t>
      </w:r>
    </w:p>
    <w:p w:rsidR="00F179E7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Финансијско планирање и </w:t>
      </w:r>
      <w:r w:rsidR="00F179E7">
        <w:t>управљање –</w:t>
      </w:r>
      <w:r w:rsidR="008A2E6C">
        <w:t xml:space="preserve"> </w:t>
      </w:r>
      <w:r w:rsidR="00F179E7">
        <w:t>планирање као примарна функција менаџмента и међузависност дугорочног и краткорочног процеса планирања</w:t>
      </w:r>
      <w:r w:rsidR="00865AF9">
        <w:t>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Припрема главног и функционалних буџета предузећа</w:t>
      </w:r>
      <w:r w:rsidR="007F6A73">
        <w:t>;</w:t>
      </w:r>
    </w:p>
    <w:p w:rsidR="007F6A73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Финансијско планирање и буџет</w:t>
      </w:r>
      <w:r w:rsidR="007F6A73">
        <w:t>ирање;</w:t>
      </w:r>
    </w:p>
    <w:p w:rsidR="00F179E7" w:rsidRDefault="007F6A73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Д</w:t>
      </w:r>
      <w:r w:rsidR="00F179E7">
        <w:t>угорочно финансијско планирање</w:t>
      </w:r>
      <w:r>
        <w:t>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Краткорочно финансијско планирање и предвиђање продаје</w:t>
      </w:r>
      <w:r w:rsidR="007F6A73">
        <w:t>: метода просјечне стопе раста из претходног периода и метода регресионе анализе;</w:t>
      </w:r>
    </w:p>
    <w:p w:rsidR="007F6A73" w:rsidRDefault="007F6A73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Предвиђање продаје: метода мишљења менаџмента и метода предвиђања процента од продаје;</w:t>
      </w:r>
    </w:p>
    <w:p w:rsidR="00F179E7" w:rsidRDefault="00F179E7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План токова готовине: билансна метода планирања готовине</w:t>
      </w:r>
      <w:r w:rsidR="00E06082">
        <w:t>, п</w:t>
      </w:r>
      <w:r>
        <w:t>лански биланс успјеха и плански биланс стања</w:t>
      </w:r>
    </w:p>
    <w:p w:rsidR="00F179E7" w:rsidRDefault="00E06082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План токова готовине:  План токова готовине и динамички план токова готовине</w:t>
      </w:r>
    </w:p>
    <w:p w:rsidR="00B7027C" w:rsidRDefault="00E06082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Управљање растом и п</w:t>
      </w:r>
      <w:r w:rsidR="00B7027C">
        <w:t>ојмов</w:t>
      </w:r>
      <w:r>
        <w:t>но одређење одрживе стопе раста</w:t>
      </w:r>
      <w:r w:rsidR="007F6A73">
        <w:t>;</w:t>
      </w:r>
    </w:p>
    <w:p w:rsidR="00E06082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Међузависност одрживе стопе раста и </w:t>
      </w:r>
      <w:r w:rsidR="00E06082">
        <w:t>фаза животног циклуса предузећа</w:t>
      </w:r>
      <w:r w:rsidR="007F6A73">
        <w:t>;</w:t>
      </w:r>
    </w:p>
    <w:p w:rsidR="00E06082" w:rsidRDefault="00E06082" w:rsidP="00E06082">
      <w:pPr>
        <w:pStyle w:val="ListParagraph"/>
        <w:numPr>
          <w:ilvl w:val="0"/>
          <w:numId w:val="1"/>
        </w:numPr>
        <w:spacing w:after="60" w:line="276" w:lineRule="auto"/>
      </w:pPr>
      <w:r>
        <w:t>Утврђивање одрживе стопе раста и у</w:t>
      </w:r>
      <w:r w:rsidR="00B7027C">
        <w:t>равнотеже</w:t>
      </w:r>
      <w:r>
        <w:t>ни (балансирани) раст предузећа</w:t>
      </w:r>
    </w:p>
    <w:p w:rsidR="00E06082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Управљање у условима када стварна стопа раста надмашуј</w:t>
      </w:r>
      <w:r w:rsidR="00E06082">
        <w:t>е одрживу стопу раста предузећа</w:t>
      </w:r>
      <w:r w:rsidR="008F4D29">
        <w:t>;</w:t>
      </w:r>
    </w:p>
    <w:p w:rsidR="00E06082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Управљање у условима када је стварна стопа</w:t>
      </w:r>
      <w:r w:rsidR="008F4D29">
        <w:t xml:space="preserve"> мања у односу на одрживу стопу;</w:t>
      </w:r>
    </w:p>
    <w:p w:rsidR="00E06082" w:rsidRDefault="00E06082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Појам и значај ликвидности</w:t>
      </w:r>
      <w:r w:rsidR="008F4D29">
        <w:t>;</w:t>
      </w:r>
    </w:p>
    <w:p w:rsidR="00E06082" w:rsidRDefault="00E06082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Анализа дугорочне финансијске равнотеже као услова ликвидности и анализа дугорочне финансијске равнотеже на основу нето обртног фонда</w:t>
      </w:r>
      <w:r w:rsidR="008F4D29">
        <w:t>;</w:t>
      </w:r>
    </w:p>
    <w:p w:rsidR="00E06082" w:rsidRDefault="00E06082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Анализа краткорочне финансијске равнотеже – ликвидност и солвентност</w:t>
      </w:r>
      <w:r w:rsidR="008F4D29">
        <w:t>;</w:t>
      </w:r>
    </w:p>
    <w:p w:rsidR="00B7027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Могућност измирења о</w:t>
      </w:r>
      <w:r w:rsidR="00E06082">
        <w:t>бавеза у условима неликвидности: пребијање (компензација)</w:t>
      </w:r>
      <w:r w:rsidR="00587465">
        <w:t xml:space="preserve"> и цесија</w:t>
      </w:r>
      <w:r w:rsidR="008F4D29">
        <w:t>;</w:t>
      </w:r>
    </w:p>
    <w:p w:rsidR="00587465" w:rsidRDefault="00E06082" w:rsidP="00B7027C">
      <w:pPr>
        <w:pStyle w:val="ListParagraph"/>
        <w:numPr>
          <w:ilvl w:val="0"/>
          <w:numId w:val="1"/>
        </w:numPr>
        <w:spacing w:after="60" w:line="276" w:lineRule="auto"/>
      </w:pPr>
      <w:r>
        <w:lastRenderedPageBreak/>
        <w:t>Могућност измирења обавеза у условима неликвидности:</w:t>
      </w:r>
      <w:r w:rsidR="00587465">
        <w:t xml:space="preserve"> преузиманје дуга  и упућивање (асигнација)</w:t>
      </w:r>
      <w:r w:rsidR="008F4D29">
        <w:t>;</w:t>
      </w:r>
    </w:p>
    <w:p w:rsidR="00587465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Сигурност као полуга ост</w:t>
      </w:r>
      <w:r w:rsidR="00587465">
        <w:t>варења врхунског циља предузећа и капитал као кључна детерминанта предузећа</w:t>
      </w:r>
    </w:p>
    <w:p w:rsidR="00587465" w:rsidRDefault="00587465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Схватање биланса: метода трошкова продатих учинака, метода укупних трошкова и билансни контни оквир</w:t>
      </w:r>
      <w:r w:rsidR="00F91FBD">
        <w:t>;</w:t>
      </w:r>
    </w:p>
    <w:p w:rsidR="00587465" w:rsidRDefault="00587465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Финансијске карактеристике биланса стања: имовина предузећа и извори финансирања предузећа</w:t>
      </w:r>
      <w:r w:rsidR="00F91FBD">
        <w:t>;</w:t>
      </w:r>
    </w:p>
    <w:p w:rsidR="00587465" w:rsidRDefault="00587465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Управљање капиталом</w:t>
      </w:r>
      <w:r w:rsidR="00F91FBD">
        <w:t>;</w:t>
      </w:r>
    </w:p>
    <w:p w:rsidR="00587465" w:rsidRDefault="002C5D8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Реструктурирање: п</w:t>
      </w:r>
      <w:r w:rsidR="00F91FBD">
        <w:t>ојам и врсте реструктурирања;</w:t>
      </w:r>
    </w:p>
    <w:p w:rsidR="00587465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Кон</w:t>
      </w:r>
      <w:r w:rsidR="00587465">
        <w:t>цептуални оквир реструктурирања</w:t>
      </w:r>
      <w:r w:rsidR="00F91FBD">
        <w:t>;</w:t>
      </w:r>
    </w:p>
    <w:p w:rsidR="00587465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Модели реструктурирања пре</w:t>
      </w:r>
      <w:r w:rsidR="00587465">
        <w:t>дузећа – промјеном правне форме</w:t>
      </w:r>
      <w:r w:rsidR="00800223">
        <w:t>;</w:t>
      </w:r>
    </w:p>
    <w:p w:rsidR="003644A6" w:rsidRPr="003644A6" w:rsidRDefault="00B7027C" w:rsidP="007160FD">
      <w:pPr>
        <w:pStyle w:val="ListParagraph"/>
        <w:numPr>
          <w:ilvl w:val="0"/>
          <w:numId w:val="1"/>
        </w:numPr>
        <w:spacing w:after="60" w:line="276" w:lineRule="auto"/>
      </w:pPr>
      <w:r>
        <w:t>Модели реструктурирања предузећа – статусним промјенама предузећа</w:t>
      </w:r>
      <w:r w:rsidR="00587465">
        <w:t>: спајање (фузија), спајање уз припајање (</w:t>
      </w:r>
      <w:r w:rsidR="003644A6">
        <w:t>мерџер)</w:t>
      </w:r>
      <w:r w:rsidR="003644A6">
        <w:rPr>
          <w:lang w:val="sr-Latn-BA"/>
        </w:rPr>
        <w:t>;</w:t>
      </w:r>
    </w:p>
    <w:p w:rsidR="00587465" w:rsidRDefault="003644A6" w:rsidP="007160FD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 </w:t>
      </w:r>
      <w:r>
        <w:t xml:space="preserve">Модели реструктурирања предузећа – статусним промјенама предузећа: </w:t>
      </w:r>
      <w:r>
        <w:t>куповина (аквизиција) предузећа</w:t>
      </w:r>
      <w:r>
        <w:rPr>
          <w:lang w:val="sr-Latn-BA"/>
        </w:rPr>
        <w:t>;</w:t>
      </w:r>
    </w:p>
    <w:p w:rsidR="008A2E6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Модели реструктурирања предузећа – санирањем предузећа</w:t>
      </w:r>
      <w:r w:rsidR="00587465">
        <w:t>: економско санирање</w:t>
      </w:r>
      <w:r w:rsidR="00640A81">
        <w:t>;</w:t>
      </w:r>
    </w:p>
    <w:p w:rsidR="00640A81" w:rsidRDefault="00640A81" w:rsidP="00640A81">
      <w:pPr>
        <w:pStyle w:val="ListParagraph"/>
        <w:numPr>
          <w:ilvl w:val="0"/>
          <w:numId w:val="1"/>
        </w:numPr>
        <w:spacing w:after="60" w:line="276" w:lineRule="auto"/>
      </w:pPr>
      <w:r>
        <w:t xml:space="preserve">Модели реструктурирања предузећа – санирањем предузећа: </w:t>
      </w:r>
      <w:r>
        <w:t>финансијск</w:t>
      </w:r>
      <w:r>
        <w:t>о санирање;</w:t>
      </w:r>
    </w:p>
    <w:p w:rsidR="008A2E6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Модели реструктурирања пр</w:t>
      </w:r>
      <w:r w:rsidR="00BA61B8">
        <w:t>едузећа – раздвајањем предузећа;</w:t>
      </w:r>
    </w:p>
    <w:p w:rsidR="008A2E6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Модели реструктурирања предузећа – пр</w:t>
      </w:r>
      <w:r w:rsidR="008A2E6C">
        <w:t>одајом и ликвидацијом предузећа</w:t>
      </w:r>
      <w:r w:rsidR="00BA61B8">
        <w:t>;</w:t>
      </w:r>
    </w:p>
    <w:p w:rsidR="008A2E6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Модели реструктурирања</w:t>
      </w:r>
      <w:r w:rsidR="008A2E6C">
        <w:t xml:space="preserve"> предузећа – стечајем предузећа</w:t>
      </w:r>
      <w:r w:rsidR="00BA61B8">
        <w:t>;</w:t>
      </w:r>
    </w:p>
    <w:p w:rsidR="008A2E6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Модели реструктурирања предуз</w:t>
      </w:r>
      <w:r w:rsidR="008A2E6C">
        <w:t>ећа – откупом сопствених акција</w:t>
      </w:r>
      <w:r w:rsidR="00BA61B8">
        <w:t>;</w:t>
      </w:r>
    </w:p>
    <w:p w:rsidR="008A2E6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Модели реструктурирања предузећа – диверзификацијом и концентрацијом в</w:t>
      </w:r>
      <w:r w:rsidR="008A2E6C">
        <w:t>ласништва над трајним капиталом</w:t>
      </w:r>
      <w:r w:rsidR="00BA61B8">
        <w:t>;</w:t>
      </w:r>
    </w:p>
    <w:p w:rsidR="00B7027C" w:rsidRDefault="00B7027C" w:rsidP="00B7027C">
      <w:pPr>
        <w:pStyle w:val="ListParagraph"/>
        <w:numPr>
          <w:ilvl w:val="0"/>
          <w:numId w:val="1"/>
        </w:numPr>
        <w:spacing w:after="60" w:line="276" w:lineRule="auto"/>
      </w:pPr>
      <w:r>
        <w:t>Модели реструктурирања предузећа – приватизацијом, сегментацијом и стварањем нових предузећа.</w:t>
      </w:r>
    </w:p>
    <w:p w:rsidR="00B7027C" w:rsidRDefault="00B7027C" w:rsidP="00B7027C">
      <w:pPr>
        <w:spacing w:after="60" w:line="276" w:lineRule="auto"/>
      </w:pPr>
    </w:p>
    <w:p w:rsidR="00B7027C" w:rsidRDefault="00B7027C" w:rsidP="00B7027C">
      <w:pPr>
        <w:spacing w:after="60" w:line="276" w:lineRule="auto"/>
      </w:pPr>
      <w:r>
        <w:t>НАПОМЕНА: Студенти су обавезни приступити завршној провјери знања са припремљеним самосталним истраживачким радом (приступни рад), на тему реструктурирања предузећа</w:t>
      </w:r>
      <w:r w:rsidR="00002D58">
        <w:t xml:space="preserve"> (питања од </w:t>
      </w:r>
      <w:r w:rsidR="00BA61B8">
        <w:t>52</w:t>
      </w:r>
      <w:r w:rsidR="00002D58">
        <w:t xml:space="preserve"> до </w:t>
      </w:r>
      <w:r w:rsidR="00BA61B8">
        <w:t>64</w:t>
      </w:r>
      <w:r w:rsidR="00002D58">
        <w:t>)</w:t>
      </w:r>
      <w:r w:rsidR="00D54C8E">
        <w:t>.</w:t>
      </w:r>
    </w:p>
    <w:p w:rsidR="00D54C8E" w:rsidRDefault="00D54C8E" w:rsidP="00B7027C">
      <w:pPr>
        <w:spacing w:after="60" w:line="276" w:lineRule="auto"/>
      </w:pPr>
    </w:p>
    <w:p w:rsidR="00B7027C" w:rsidRDefault="00B7027C" w:rsidP="00B7027C">
      <w:pPr>
        <w:tabs>
          <w:tab w:val="left" w:pos="601"/>
          <w:tab w:val="right" w:pos="9360"/>
        </w:tabs>
        <w:spacing w:after="60" w:line="276" w:lineRule="auto"/>
        <w:jc w:val="left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  <w:t>Проф. др Тајана Сердар Раковић</w:t>
      </w:r>
    </w:p>
    <w:p w:rsidR="00D54C8E" w:rsidRPr="00D54C8E" w:rsidRDefault="00D54C8E" w:rsidP="00D54C8E">
      <w:pPr>
        <w:tabs>
          <w:tab w:val="left" w:pos="601"/>
          <w:tab w:val="right" w:pos="9360"/>
        </w:tabs>
        <w:spacing w:after="60" w:line="276" w:lineRule="auto"/>
        <w:jc w:val="right"/>
      </w:pPr>
      <w:r>
        <w:t>Проф. др Жељана Јовичић</w:t>
      </w:r>
    </w:p>
    <w:p w:rsidR="00B7027C" w:rsidRPr="00B7027C" w:rsidRDefault="0090347C" w:rsidP="00B7027C">
      <w:pPr>
        <w:tabs>
          <w:tab w:val="left" w:pos="601"/>
          <w:tab w:val="right" w:pos="9360"/>
        </w:tabs>
        <w:spacing w:after="60" w:line="276" w:lineRule="auto"/>
        <w:jc w:val="left"/>
      </w:pPr>
      <w:r>
        <w:t>Новембар</w:t>
      </w:r>
      <w:r w:rsidR="00B7027C">
        <w:t xml:space="preserve"> 202</w:t>
      </w:r>
      <w:r>
        <w:t>4</w:t>
      </w:r>
      <w:r w:rsidR="00B7027C">
        <w:t>. године</w:t>
      </w:r>
    </w:p>
    <w:p w:rsidR="006939BE" w:rsidRDefault="006939BE" w:rsidP="00B7027C">
      <w:pPr>
        <w:spacing w:after="60" w:line="276" w:lineRule="auto"/>
      </w:pPr>
    </w:p>
    <w:sectPr w:rsidR="006939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43" w:rsidRDefault="00473A43" w:rsidP="00B7027C">
      <w:r>
        <w:separator/>
      </w:r>
    </w:p>
  </w:endnote>
  <w:endnote w:type="continuationSeparator" w:id="0">
    <w:p w:rsidR="00473A43" w:rsidRDefault="00473A43" w:rsidP="00B7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43" w:rsidRDefault="00473A43" w:rsidP="00B7027C">
      <w:r>
        <w:separator/>
      </w:r>
    </w:p>
  </w:footnote>
  <w:footnote w:type="continuationSeparator" w:id="0">
    <w:p w:rsidR="00473A43" w:rsidRDefault="00473A43" w:rsidP="00B7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7C" w:rsidRDefault="00B7027C">
    <w:pPr>
      <w:pStyle w:val="Header"/>
    </w:pPr>
    <w:r>
      <w:t>Економски факултет</w:t>
    </w:r>
  </w:p>
  <w:p w:rsidR="00B7027C" w:rsidRPr="00B7027C" w:rsidRDefault="00B7027C">
    <w:pPr>
      <w:pStyle w:val="Header"/>
    </w:pPr>
    <w:r>
      <w:t>Универзитет у Бањој Луци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3CD"/>
    <w:multiLevelType w:val="hybridMultilevel"/>
    <w:tmpl w:val="0C346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7C"/>
    <w:rsid w:val="00002D58"/>
    <w:rsid w:val="000E6477"/>
    <w:rsid w:val="0018126B"/>
    <w:rsid w:val="002046D0"/>
    <w:rsid w:val="002C5D8C"/>
    <w:rsid w:val="003644A6"/>
    <w:rsid w:val="003F0B1C"/>
    <w:rsid w:val="00473A43"/>
    <w:rsid w:val="00587465"/>
    <w:rsid w:val="005E4962"/>
    <w:rsid w:val="00640A81"/>
    <w:rsid w:val="006939BE"/>
    <w:rsid w:val="007F6A73"/>
    <w:rsid w:val="00800223"/>
    <w:rsid w:val="00865AF9"/>
    <w:rsid w:val="008A2E6C"/>
    <w:rsid w:val="008C515D"/>
    <w:rsid w:val="008F4D29"/>
    <w:rsid w:val="0090347C"/>
    <w:rsid w:val="009814A9"/>
    <w:rsid w:val="00B01A10"/>
    <w:rsid w:val="00B7027C"/>
    <w:rsid w:val="00BA61B8"/>
    <w:rsid w:val="00BE1AF6"/>
    <w:rsid w:val="00C91ED2"/>
    <w:rsid w:val="00D54C8E"/>
    <w:rsid w:val="00E06082"/>
    <w:rsid w:val="00EB710C"/>
    <w:rsid w:val="00F179E7"/>
    <w:rsid w:val="00F856C8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192AB-7137-4F3A-B04C-DA64025C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0C"/>
    <w:pPr>
      <w:jc w:val="both"/>
    </w:pPr>
    <w:rPr>
      <w:noProof/>
      <w:sz w:val="24"/>
      <w:szCs w:val="24"/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B710C"/>
    <w:rPr>
      <w:b/>
      <w:bCs/>
    </w:rPr>
  </w:style>
  <w:style w:type="paragraph" w:styleId="ListParagraph">
    <w:name w:val="List Paragraph"/>
    <w:basedOn w:val="Normal"/>
    <w:uiPriority w:val="34"/>
    <w:qFormat/>
    <w:rsid w:val="00EB710C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B70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27C"/>
    <w:rPr>
      <w:noProof/>
      <w:sz w:val="24"/>
      <w:szCs w:val="24"/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B7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27C"/>
    <w:rPr>
      <w:noProof/>
      <w:sz w:val="24"/>
      <w:szCs w:val="24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20</cp:revision>
  <dcterms:created xsi:type="dcterms:W3CDTF">2022-12-09T10:56:00Z</dcterms:created>
  <dcterms:modified xsi:type="dcterms:W3CDTF">2024-11-25T11:22:00Z</dcterms:modified>
</cp:coreProperties>
</file>